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58" w:rsidRPr="005B4558" w:rsidRDefault="005B4558" w:rsidP="005B4558">
      <w:pPr>
        <w:shd w:val="clear" w:color="auto" w:fill="FFFFFF"/>
        <w:bidi/>
        <w:spacing w:after="0" w:line="240" w:lineRule="auto"/>
        <w:ind w:left="206" w:hanging="180"/>
        <w:jc w:val="center"/>
        <w:rPr>
          <w:rFonts w:ascii="Verdana" w:eastAsia="Times New Roman" w:hAnsi="Verdana" w:cs="Times New Roman"/>
          <w:color w:val="000000"/>
          <w:sz w:val="21"/>
          <w:szCs w:val="21"/>
        </w:rPr>
      </w:pPr>
      <w:r w:rsidRPr="005B4558">
        <w:rPr>
          <w:rFonts w:ascii="Simplified Arabic" w:eastAsia="Times New Roman" w:hAnsi="Simplified Arabic" w:cs="Simplified Arabic"/>
          <w:b/>
          <w:bCs/>
          <w:color w:val="000000"/>
          <w:sz w:val="32"/>
          <w:szCs w:val="32"/>
          <w:rtl/>
        </w:rPr>
        <w:t>قواعد رفع الحرج</w:t>
      </w:r>
    </w:p>
    <w:p w:rsidR="005B4558" w:rsidRPr="005B4558" w:rsidRDefault="005B4558" w:rsidP="005B4558">
      <w:pPr>
        <w:shd w:val="clear" w:color="auto" w:fill="FFFFFF"/>
        <w:bidi/>
        <w:spacing w:after="0" w:line="240" w:lineRule="auto"/>
        <w:ind w:left="206" w:hanging="180"/>
        <w:jc w:val="center"/>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000000"/>
          <w:sz w:val="32"/>
          <w:szCs w:val="32"/>
          <w:rtl/>
        </w:rPr>
        <w:t> </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000000"/>
          <w:sz w:val="28"/>
          <w:szCs w:val="28"/>
          <w:rtl/>
        </w:rPr>
        <w:t>المبادئ الخاصة برفع الحرج وأمثلة مما يتفرع عنها:</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000000"/>
          <w:sz w:val="28"/>
          <w:szCs w:val="28"/>
          <w:rtl/>
        </w:rPr>
        <w:t>1- الحرج شرعاً مرفوع</w:t>
      </w:r>
      <w:r w:rsidRPr="005B4558">
        <w:rPr>
          <w:rFonts w:ascii="Simplified Arabic" w:eastAsia="Times New Roman" w:hAnsi="Simplified Arabic" w:cs="Simplified Arabic"/>
          <w:color w:val="000000"/>
          <w:sz w:val="28"/>
          <w:szCs w:val="28"/>
          <w:rtl/>
        </w:rPr>
        <w:t>:</w:t>
      </w:r>
      <w:r w:rsidRPr="005B4558">
        <w:rPr>
          <w:rFonts w:ascii="Simplified Arabic" w:eastAsia="Times New Roman" w:hAnsi="Simplified Arabic" w:cs="Simplified Arabic"/>
          <w:color w:val="000000"/>
          <w:szCs w:val="28"/>
          <w:rtl/>
        </w:rPr>
        <w:t> </w:t>
      </w:r>
      <w:bookmarkStart w:id="0" w:name="الحر拀مرفو掐شرعا"/>
      <w:bookmarkEnd w:id="0"/>
      <w:r w:rsidRPr="005B4558">
        <w:rPr>
          <w:rFonts w:ascii="Simplified Arabic" w:eastAsia="Times New Roman" w:hAnsi="Simplified Arabic" w:cs="Simplified Arabic"/>
          <w:color w:val="000000"/>
          <w:sz w:val="28"/>
          <w:szCs w:val="28"/>
          <w:rtl/>
        </w:rPr>
        <w:t>من فروعها: فبول شهادة النساء وحدهن فيما لا يطلع عليه الرجال من عيوب النساء وشؤونهن، والاكتفاء بغلبة الظن دون التزام الجزم والقطع في استقبال القبلة وطهارة المكان والماء والقضاء والشهادة، ومن فروعه: ما قرروه من انه إذا ضاق الأمر اتسع</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000000"/>
          <w:sz w:val="28"/>
          <w:szCs w:val="28"/>
          <w:rtl/>
        </w:rPr>
        <w:t>2-</w:t>
      </w:r>
      <w:r w:rsidRPr="005B4558">
        <w:rPr>
          <w:rFonts w:ascii="Simplified Arabic" w:eastAsia="Times New Roman" w:hAnsi="Simplified Arabic" w:cs="Simplified Arabic"/>
          <w:b/>
          <w:bCs/>
          <w:color w:val="000000"/>
          <w:szCs w:val="28"/>
          <w:rtl/>
        </w:rPr>
        <w:t> </w:t>
      </w:r>
      <w:bookmarkStart w:id="1" w:name="المشق抐تجل技التيسير"/>
      <w:bookmarkStart w:id="2" w:name="المشقة0تجلب0التيسير"/>
      <w:bookmarkEnd w:id="1"/>
      <w:bookmarkEnd w:id="2"/>
      <w:r w:rsidRPr="005B4558">
        <w:rPr>
          <w:rFonts w:ascii="Simplified Arabic" w:eastAsia="Times New Roman" w:hAnsi="Simplified Arabic" w:cs="Simplified Arabic"/>
          <w:b/>
          <w:bCs/>
          <w:color w:val="000000"/>
          <w:sz w:val="28"/>
          <w:szCs w:val="28"/>
          <w:rtl/>
        </w:rPr>
        <w:t>المشقة تجلب التيسير:</w:t>
      </w:r>
      <w:r w:rsidRPr="005B4558">
        <w:rPr>
          <w:rFonts w:ascii="Simplified Arabic" w:eastAsia="Times New Roman" w:hAnsi="Simplified Arabic" w:cs="Simplified Arabic"/>
          <w:b/>
          <w:bCs/>
          <w:color w:val="000000"/>
          <w:szCs w:val="28"/>
          <w:rtl/>
        </w:rPr>
        <w:t> </w:t>
      </w:r>
      <w:r w:rsidRPr="005B4558">
        <w:rPr>
          <w:rFonts w:ascii="Simplified Arabic" w:eastAsia="Times New Roman" w:hAnsi="Simplified Arabic" w:cs="Simplified Arabic"/>
          <w:color w:val="000000"/>
          <w:sz w:val="28"/>
          <w:szCs w:val="28"/>
          <w:rtl/>
        </w:rPr>
        <w:t>من فروعها: جميع الرخص التي شرعها الله ترفيهاً وتخفيفاً عنة المكلف لسبب من الأسباب التي تقتضي هذا التخفيف.</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000000"/>
          <w:sz w:val="28"/>
          <w:szCs w:val="28"/>
          <w:rtl/>
        </w:rPr>
        <w:t>وهذه الأسباب بالاستقراء سبعة:</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color w:val="000000"/>
          <w:sz w:val="14"/>
          <w:szCs w:val="14"/>
          <w:rtl/>
        </w:rPr>
        <w:t>   </w:t>
      </w:r>
      <w:r w:rsidRPr="005B4558">
        <w:rPr>
          <w:rFonts w:ascii="Verdana" w:eastAsia="Times New Roman" w:hAnsi="Verdana" w:cs="Times New Roman" w:hint="cs"/>
          <w:color w:val="000000"/>
          <w:szCs w:val="14"/>
          <w:rtl/>
        </w:rPr>
        <w:t> </w:t>
      </w:r>
      <w:r w:rsidRPr="005B4558">
        <w:rPr>
          <w:rFonts w:ascii="Simplified Arabic" w:eastAsia="Times New Roman" w:hAnsi="Simplified Arabic" w:cs="Simplified Arabic"/>
          <w:b/>
          <w:bCs/>
          <w:color w:val="000000"/>
          <w:sz w:val="28"/>
          <w:szCs w:val="28"/>
          <w:rtl/>
        </w:rPr>
        <w:t>ا</w:t>
      </w:r>
      <w:r w:rsidRPr="005B4558">
        <w:rPr>
          <w:rFonts w:ascii="Simplified Arabic" w:eastAsia="Times New Roman" w:hAnsi="Simplified Arabic" w:cs="Simplified Arabic"/>
          <w:b/>
          <w:bCs/>
          <w:color w:val="000000"/>
          <w:sz w:val="28"/>
          <w:szCs w:val="28"/>
          <w:u w:val="single"/>
          <w:rtl/>
        </w:rPr>
        <w:t>لسفر</w:t>
      </w:r>
      <w:r w:rsidRPr="005B4558">
        <w:rPr>
          <w:rFonts w:ascii="Simplified Arabic" w:eastAsia="Times New Roman" w:hAnsi="Simplified Arabic" w:cs="Simplified Arabic"/>
          <w:b/>
          <w:bCs/>
          <w:color w:val="000000"/>
          <w:sz w:val="28"/>
          <w:szCs w:val="28"/>
          <w:rtl/>
        </w:rPr>
        <w:t>:</w:t>
      </w:r>
      <w:r w:rsidRPr="005B4558">
        <w:rPr>
          <w:rFonts w:ascii="Simplified Arabic" w:eastAsia="Times New Roman" w:hAnsi="Simplified Arabic" w:cs="Simplified Arabic"/>
          <w:b/>
          <w:bCs/>
          <w:color w:val="000000"/>
          <w:szCs w:val="28"/>
          <w:rtl/>
        </w:rPr>
        <w:t> </w:t>
      </w:r>
      <w:r w:rsidRPr="005B4558">
        <w:rPr>
          <w:rFonts w:ascii="Simplified Arabic" w:eastAsia="Times New Roman" w:hAnsi="Simplified Arabic" w:cs="Simplified Arabic"/>
          <w:color w:val="000000"/>
          <w:sz w:val="28"/>
          <w:szCs w:val="28"/>
          <w:rtl/>
        </w:rPr>
        <w:t>ومن أجله أبيح الفطر في رمضان، وقصر الصلاة الرباعية، وسقوط الجمعة، والجماعة، والتيمم.</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00"/>
          <w:sz w:val="28"/>
          <w:szCs w:val="28"/>
          <w:u w:val="single"/>
          <w:rtl/>
        </w:rPr>
        <w:t>المرض</w:t>
      </w:r>
      <w:r w:rsidRPr="005B4558">
        <w:rPr>
          <w:rFonts w:ascii="Simplified Arabic" w:eastAsia="Times New Roman" w:hAnsi="Simplified Arabic" w:cs="Simplified Arabic"/>
          <w:b/>
          <w:bCs/>
          <w:color w:val="000000"/>
          <w:sz w:val="28"/>
          <w:szCs w:val="28"/>
          <w:rtl/>
        </w:rPr>
        <w:t>:</w:t>
      </w:r>
      <w:r w:rsidRPr="005B4558">
        <w:rPr>
          <w:rFonts w:ascii="Simplified Arabic" w:eastAsia="Times New Roman" w:hAnsi="Simplified Arabic" w:cs="Simplified Arabic"/>
          <w:b/>
          <w:bCs/>
          <w:color w:val="000000"/>
          <w:szCs w:val="28"/>
          <w:rtl/>
        </w:rPr>
        <w:t> </w:t>
      </w:r>
      <w:r w:rsidRPr="005B4558">
        <w:rPr>
          <w:rFonts w:ascii="Simplified Arabic" w:eastAsia="Times New Roman" w:hAnsi="Simplified Arabic" w:cs="Simplified Arabic"/>
          <w:b/>
          <w:bCs/>
          <w:color w:val="000000"/>
          <w:sz w:val="28"/>
          <w:szCs w:val="28"/>
          <w:rtl/>
        </w:rPr>
        <w:t>ومن أجله أبيح الفطر في رمضان، التيمم، والصلاة قاعداً، وتناول المحرم للعلاج.</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00"/>
          <w:sz w:val="28"/>
          <w:szCs w:val="28"/>
          <w:rtl/>
        </w:rPr>
        <w:t>الإكراه: ومن أجله أبيح للمكره التلفظ بكلمة الكفر، وترك الواجب، وإتلاف مال الغير، وأكل الميتة، وشرب الخمر.</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00"/>
          <w:sz w:val="28"/>
          <w:szCs w:val="28"/>
          <w:rtl/>
        </w:rPr>
        <w:t>النسيان:</w:t>
      </w:r>
      <w:r w:rsidRPr="005B4558">
        <w:rPr>
          <w:rFonts w:ascii="Simplified Arabic" w:eastAsia="Times New Roman" w:hAnsi="Simplified Arabic" w:cs="Simplified Arabic"/>
          <w:b/>
          <w:bCs/>
          <w:color w:val="000000"/>
          <w:szCs w:val="28"/>
          <w:rtl/>
        </w:rPr>
        <w:t> </w:t>
      </w:r>
      <w:r w:rsidRPr="005B4558">
        <w:rPr>
          <w:rFonts w:ascii="Simplified Arabic" w:eastAsia="Times New Roman" w:hAnsi="Simplified Arabic" w:cs="Simplified Arabic"/>
          <w:b/>
          <w:bCs/>
          <w:color w:val="000000"/>
          <w:sz w:val="28"/>
          <w:szCs w:val="28"/>
          <w:rtl/>
        </w:rPr>
        <w:t>ومن أجله رفع الإثم عمن ارتكب معصية ناسياً، ولم يبطل صوم من أكل في نهار رمضان أو شرب ناساً، ولم تحرم ذبيحة من ترك التسمية عليها عند ذبحها ناسياً.</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00"/>
          <w:sz w:val="28"/>
          <w:szCs w:val="28"/>
          <w:rtl/>
        </w:rPr>
        <w:t>الجهل:</w:t>
      </w:r>
      <w:r w:rsidRPr="005B4558">
        <w:rPr>
          <w:rFonts w:ascii="Simplified Arabic" w:eastAsia="Times New Roman" w:hAnsi="Simplified Arabic" w:cs="Simplified Arabic"/>
          <w:b/>
          <w:bCs/>
          <w:color w:val="000000"/>
          <w:szCs w:val="28"/>
          <w:rtl/>
        </w:rPr>
        <w:t> </w:t>
      </w:r>
      <w:r w:rsidRPr="005B4558">
        <w:rPr>
          <w:rFonts w:ascii="Simplified Arabic" w:eastAsia="Times New Roman" w:hAnsi="Simplified Arabic" w:cs="Simplified Arabic"/>
          <w:b/>
          <w:bCs/>
          <w:color w:val="000000"/>
          <w:sz w:val="28"/>
          <w:szCs w:val="28"/>
          <w:rtl/>
        </w:rPr>
        <w:t>ومن أجله ساغ رد المبيع بالعيب لمن اشتراه جاهلاً بعيبه، و ساغ فسخ الزواج بالعيب لمن تزوج جاهلاً به، واغتفر التناقض في دعوى النسب للجهل، وكذلك اغتفر التناقض للوراث والوصي وناظر الوقف للجهل.</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FF"/>
          <w:sz w:val="28"/>
          <w:szCs w:val="28"/>
          <w:rtl/>
        </w:rPr>
        <w:t>عموم البلوى:</w:t>
      </w:r>
      <w:r w:rsidRPr="005B4558">
        <w:rPr>
          <w:rFonts w:ascii="Simplified Arabic" w:eastAsia="Times New Roman" w:hAnsi="Simplified Arabic" w:cs="Simplified Arabic"/>
          <w:b/>
          <w:bCs/>
          <w:color w:val="0000FF"/>
          <w:szCs w:val="28"/>
          <w:rtl/>
        </w:rPr>
        <w:t> </w:t>
      </w:r>
      <w:r w:rsidRPr="005B4558">
        <w:rPr>
          <w:rFonts w:ascii="Simplified Arabic" w:eastAsia="Times New Roman" w:hAnsi="Simplified Arabic" w:cs="Simplified Arabic"/>
          <w:b/>
          <w:bCs/>
          <w:color w:val="000000"/>
          <w:sz w:val="28"/>
          <w:szCs w:val="28"/>
          <w:rtl/>
        </w:rPr>
        <w:t>ومن أجله عفي عن رشاش النجاسات من طين الشوارع وغيره مما لا يمكن الاحتراز عنه، وعفي عن الغبن اليسير في المعاوضات.</w:t>
      </w:r>
    </w:p>
    <w:p w:rsidR="005B4558" w:rsidRPr="005B4558" w:rsidRDefault="005B4558" w:rsidP="005B4558">
      <w:pPr>
        <w:shd w:val="clear" w:color="auto" w:fill="FFFFFF"/>
        <w:bidi/>
        <w:spacing w:after="0" w:line="240" w:lineRule="auto"/>
        <w:ind w:left="206" w:hanging="180"/>
        <w:jc w:val="both"/>
        <w:rPr>
          <w:rFonts w:ascii="Verdana" w:eastAsia="Times New Roman" w:hAnsi="Verdana" w:cs="Times New Roman"/>
          <w:color w:val="000000"/>
          <w:sz w:val="21"/>
          <w:szCs w:val="21"/>
          <w:rtl/>
        </w:rPr>
      </w:pPr>
      <w:r w:rsidRPr="005B4558">
        <w:rPr>
          <w:rFonts w:ascii="Verdana" w:eastAsia="Times New Roman" w:hAnsi="Verdana" w:cs="Times New Roman" w:hint="cs"/>
          <w:b/>
          <w:bCs/>
          <w:color w:val="000000"/>
          <w:sz w:val="14"/>
          <w:szCs w:val="14"/>
          <w:rtl/>
        </w:rPr>
        <w:t>     </w:t>
      </w:r>
      <w:r w:rsidRPr="005B4558">
        <w:rPr>
          <w:rFonts w:ascii="Verdana" w:eastAsia="Times New Roman" w:hAnsi="Verdana" w:cs="Times New Roman" w:hint="cs"/>
          <w:b/>
          <w:bCs/>
          <w:color w:val="000000"/>
          <w:szCs w:val="14"/>
          <w:rtl/>
        </w:rPr>
        <w:t> </w:t>
      </w:r>
      <w:r w:rsidRPr="005B4558">
        <w:rPr>
          <w:rFonts w:ascii="Simplified Arabic" w:eastAsia="Times New Roman" w:hAnsi="Simplified Arabic" w:cs="Simplified Arabic"/>
          <w:b/>
          <w:bCs/>
          <w:color w:val="000000"/>
          <w:sz w:val="28"/>
          <w:szCs w:val="28"/>
          <w:rtl/>
        </w:rPr>
        <w:t>النقص: ومن فروعه: رفع التكليف عن فاقد الأهلية كالطفل والمجنون، ورفع بعض الواجبات عن الأرقاء وعن النساء، ولذا لا تجب عليهن الجمعة ولا الجماعة، ولا الجهاد.</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FF0000"/>
          <w:sz w:val="28"/>
          <w:szCs w:val="28"/>
          <w:rtl/>
        </w:rPr>
        <w:t>3. -</w:t>
      </w:r>
      <w:r w:rsidRPr="005B4558">
        <w:rPr>
          <w:rFonts w:ascii="Simplified Arabic" w:eastAsia="Times New Roman" w:hAnsi="Simplified Arabic" w:cs="Simplified Arabic"/>
          <w:b/>
          <w:bCs/>
          <w:color w:val="FF0000"/>
          <w:szCs w:val="28"/>
          <w:rtl/>
        </w:rPr>
        <w:t> </w:t>
      </w:r>
      <w:bookmarkStart w:id="3" w:name="الضرورات0تبيح0المحظورات"/>
      <w:r w:rsidRPr="005B4558">
        <w:rPr>
          <w:rFonts w:ascii="Simplified Arabic" w:eastAsia="Times New Roman" w:hAnsi="Simplified Arabic" w:cs="Simplified Arabic"/>
          <w:b/>
          <w:bCs/>
          <w:color w:val="054F8F"/>
          <w:sz w:val="28"/>
          <w:szCs w:val="28"/>
          <w:u w:val="single"/>
          <w:rtl/>
        </w:rPr>
        <w:t>الضرورات تبيح المحظورات</w:t>
      </w:r>
      <w:bookmarkEnd w:id="3"/>
      <w:r w:rsidRPr="005B4558">
        <w:rPr>
          <w:rFonts w:ascii="Simplified Arabic" w:eastAsia="Times New Roman" w:hAnsi="Simplified Arabic" w:cs="Simplified Arabic"/>
          <w:b/>
          <w:bCs/>
          <w:color w:val="FF0000"/>
          <w:sz w:val="28"/>
          <w:szCs w:val="28"/>
          <w:rtl/>
        </w:rPr>
        <w:t>:</w:t>
      </w:r>
      <w:r w:rsidRPr="005B4558">
        <w:rPr>
          <w:rFonts w:ascii="Simplified Arabic" w:eastAsia="Times New Roman" w:hAnsi="Simplified Arabic" w:cs="Simplified Arabic"/>
          <w:color w:val="000000"/>
          <w:sz w:val="28"/>
          <w:szCs w:val="28"/>
          <w:rtl/>
        </w:rPr>
        <w:t>و أصل القاعدة قوله تعالى" فمن اضطر في مخمصة غير متجانف لاثم فإن الله غفور رحيم " و قوله تعالى " إلا من أكره و قلبه مطمئن بالإيمان "</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color w:val="000000"/>
          <w:sz w:val="28"/>
          <w:szCs w:val="28"/>
          <w:rtl/>
        </w:rPr>
        <w:t>من فروعها: من اضطر إلى مخمصة إلى ميتة أو دم أو أي محرم فلا إثم عليه في تناوله، من لم يستطيع الدفاع عن نفسه إلا بالإضرار بغيره فلا إثم عليه في الدفاع به، من امتنع من أداء دينه يؤخذ الدين من ماله بغير إذنه.جواز النطق بكلمة الكفر عند الإكراه و قلبه مطمئن بالإيمان</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b/>
          <w:bCs/>
          <w:color w:val="FF0000"/>
          <w:sz w:val="28"/>
          <w:szCs w:val="28"/>
          <w:rtl/>
        </w:rPr>
        <w:lastRenderedPageBreak/>
        <w:t>4-</w:t>
      </w:r>
      <w:r w:rsidRPr="005B4558">
        <w:rPr>
          <w:rFonts w:ascii="Simplified Arabic" w:eastAsia="Times New Roman" w:hAnsi="Simplified Arabic" w:cs="Simplified Arabic"/>
          <w:b/>
          <w:bCs/>
          <w:color w:val="FF0000"/>
          <w:szCs w:val="28"/>
          <w:rtl/>
        </w:rPr>
        <w:t> </w:t>
      </w:r>
      <w:bookmarkStart w:id="4" w:name="الضروراتتقدربقدرها"/>
      <w:bookmarkStart w:id="5" w:name="الضرورات0تقدر0بقدرها"/>
      <w:bookmarkEnd w:id="4"/>
      <w:r w:rsidRPr="005B4558">
        <w:rPr>
          <w:rFonts w:ascii="Simplified Arabic" w:eastAsia="Times New Roman" w:hAnsi="Simplified Arabic" w:cs="Simplified Arabic"/>
          <w:b/>
          <w:bCs/>
          <w:color w:val="054F8F"/>
          <w:sz w:val="28"/>
          <w:szCs w:val="28"/>
          <w:u w:val="single"/>
          <w:rtl/>
        </w:rPr>
        <w:t>الضرورات تقدر بقدرها</w:t>
      </w:r>
      <w:bookmarkEnd w:id="5"/>
      <w:r w:rsidRPr="005B4558">
        <w:rPr>
          <w:rFonts w:ascii="Simplified Arabic" w:eastAsia="Times New Roman" w:hAnsi="Simplified Arabic" w:cs="Simplified Arabic"/>
          <w:b/>
          <w:bCs/>
          <w:color w:val="FF0000"/>
          <w:sz w:val="28"/>
          <w:szCs w:val="28"/>
          <w:rtl/>
        </w:rPr>
        <w:t>:</w:t>
      </w:r>
      <w:r w:rsidRPr="005B4558">
        <w:rPr>
          <w:rFonts w:ascii="Simplified Arabic" w:eastAsia="Times New Roman" w:hAnsi="Simplified Arabic" w:cs="Simplified Arabic"/>
          <w:b/>
          <w:bCs/>
          <w:color w:val="FF0000"/>
          <w:szCs w:val="28"/>
          <w:rtl/>
        </w:rPr>
        <w:t> </w:t>
      </w:r>
      <w:r w:rsidRPr="005B4558">
        <w:rPr>
          <w:rFonts w:ascii="Simplified Arabic" w:eastAsia="Times New Roman" w:hAnsi="Simplified Arabic" w:cs="Simplified Arabic"/>
          <w:color w:val="000000"/>
          <w:sz w:val="28"/>
          <w:szCs w:val="28"/>
          <w:rtl/>
        </w:rPr>
        <w:t>من فروعها: ليس للمضطر أن يتناول من المحرم إلا قدر ما يسد الرمق، ولا يعفى من النجاسة إلا القدر الذي لا يمكن الاحتراز منه، وأحكام الرخص تبطل إذا زالت أسبابها، فالتيمم يبطل إذا تيسر التطهير بالماء، والفطر يحرم في رمضان إذا أقام المسافر الصحيح، وكل ما جاز لعذر يبطل زواله.</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bookmarkStart w:id="6" w:name="الحاجاتتنزلمنزلةالضروريات"/>
      <w:r w:rsidRPr="005B4558">
        <w:rPr>
          <w:rFonts w:ascii="Simplified Arabic" w:eastAsia="Times New Roman" w:hAnsi="Simplified Arabic" w:cs="Simplified Arabic"/>
          <w:b/>
          <w:bCs/>
          <w:color w:val="FF0000"/>
          <w:sz w:val="28"/>
          <w:szCs w:val="28"/>
          <w:u w:val="single"/>
          <w:rtl/>
          <w:lang w:bidi="ar-KW"/>
        </w:rPr>
        <w:t>5.</w:t>
      </w:r>
      <w:r w:rsidRPr="005B4558">
        <w:rPr>
          <w:rFonts w:ascii="Simplified Arabic" w:eastAsia="Times New Roman" w:hAnsi="Simplified Arabic" w:cs="Simplified Arabic"/>
          <w:b/>
          <w:bCs/>
          <w:color w:val="FF0000"/>
          <w:szCs w:val="28"/>
          <w:u w:val="single"/>
          <w:rtl/>
          <w:lang w:bidi="ar-KW"/>
        </w:rPr>
        <w:t> </w:t>
      </w:r>
      <w:bookmarkStart w:id="7" w:name="الحاجات0تنزل0منزلةالضروريات"/>
      <w:bookmarkEnd w:id="6"/>
      <w:r w:rsidRPr="005B4558">
        <w:rPr>
          <w:rFonts w:ascii="Simplified Arabic" w:eastAsia="Times New Roman" w:hAnsi="Simplified Arabic" w:cs="Simplified Arabic"/>
          <w:b/>
          <w:bCs/>
          <w:color w:val="FF0000"/>
          <w:sz w:val="28"/>
          <w:szCs w:val="28"/>
          <w:u w:val="single"/>
          <w:rtl/>
          <w:lang w:bidi="ar-KW"/>
        </w:rPr>
        <w:t>الحاجات تنزل منزله الضرورات في إباحة المحظورات</w:t>
      </w:r>
      <w:bookmarkStart w:id="8" w:name="الحاجا抠تنز摀منزلةالضروريات"/>
      <w:bookmarkEnd w:id="7"/>
      <w:bookmarkEnd w:id="8"/>
      <w:r w:rsidRPr="005B4558">
        <w:rPr>
          <w:rFonts w:ascii="Simplified Arabic" w:eastAsia="Times New Roman" w:hAnsi="Simplified Arabic" w:cs="Simplified Arabic"/>
          <w:color w:val="000000"/>
          <w:sz w:val="28"/>
          <w:szCs w:val="28"/>
          <w:rtl/>
          <w:lang w:bidi="ar-KW"/>
        </w:rPr>
        <w:t>:</w:t>
      </w:r>
      <w:r w:rsidRPr="005B4558">
        <w:rPr>
          <w:rFonts w:ascii="Simplified Arabic" w:eastAsia="Times New Roman" w:hAnsi="Simplified Arabic" w:cs="Simplified Arabic"/>
          <w:color w:val="000000"/>
          <w:szCs w:val="28"/>
          <w:rtl/>
          <w:lang w:bidi="ar-KW"/>
        </w:rPr>
        <w:t> </w:t>
      </w:r>
      <w:r w:rsidRPr="005B4558">
        <w:rPr>
          <w:rFonts w:ascii="Simplified Arabic" w:eastAsia="Times New Roman" w:hAnsi="Simplified Arabic" w:cs="Simplified Arabic"/>
          <w:color w:val="000000"/>
          <w:sz w:val="28"/>
          <w:szCs w:val="28"/>
          <w:rtl/>
          <w:lang w:bidi="ar-KW"/>
        </w:rPr>
        <w:t>ومن فروعها: الترخيص في السلم، وبيع الوفاء، والاستصناع، وضمان الدرك، وجواز الاستقراض بالربح للمحتاج،( مسألة خلافية ) وغير ذلك مما فيه العقد أو التصرف على مجهول أو معدوم، ولكن قضت به حاجة الناس.</w:t>
      </w:r>
    </w:p>
    <w:p w:rsidR="005B4558" w:rsidRPr="005B4558" w:rsidRDefault="005B4558" w:rsidP="005B4558">
      <w:pPr>
        <w:shd w:val="clear" w:color="auto" w:fill="FFFFFF"/>
        <w:bidi/>
        <w:spacing w:after="0" w:line="240" w:lineRule="auto"/>
        <w:ind w:left="26"/>
        <w:jc w:val="both"/>
        <w:rPr>
          <w:rFonts w:ascii="Verdana" w:eastAsia="Times New Roman" w:hAnsi="Verdana" w:cs="Times New Roman"/>
          <w:color w:val="000000"/>
          <w:sz w:val="21"/>
          <w:szCs w:val="21"/>
          <w:rtl/>
        </w:rPr>
      </w:pPr>
      <w:r w:rsidRPr="005B4558">
        <w:rPr>
          <w:rFonts w:ascii="Simplified Arabic" w:eastAsia="Times New Roman" w:hAnsi="Simplified Arabic" w:cs="Simplified Arabic"/>
          <w:color w:val="000000"/>
          <w:sz w:val="28"/>
          <w:szCs w:val="28"/>
          <w:rtl/>
          <w:lang w:bidi="ar-KW"/>
        </w:rPr>
        <w:t>ومما يتفرع على هذا المبدأ حكم كثير من عقود المعاملات وضروب الشركات التي تحدث بين الناس وتقتضيها تجارتهم، فإنه إذا قام البرهان الصحيح، ودل الاستقراء التام على أن نوعاً من هذه العقود والتصرفات صار حاجياً للناس بحيث ينالهم الحرج والضيق إذا حرم عليهم هذا النوع من التعامل، أبيح لهم قدر ما يرفع الحرج منه</w:t>
      </w:r>
    </w:p>
    <w:p w:rsidR="003B0B9B" w:rsidRDefault="003B0B9B" w:rsidP="005B4558"/>
    <w:sectPr w:rsidR="003B0B9B" w:rsidSect="006612E1">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88E" w:rsidRDefault="0012688E" w:rsidP="00670845">
      <w:pPr>
        <w:spacing w:after="0" w:line="240" w:lineRule="auto"/>
      </w:pPr>
      <w:r>
        <w:separator/>
      </w:r>
    </w:p>
  </w:endnote>
  <w:endnote w:type="continuationSeparator" w:id="1">
    <w:p w:rsidR="0012688E" w:rsidRDefault="0012688E" w:rsidP="00670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88E" w:rsidRDefault="0012688E" w:rsidP="00670845">
      <w:pPr>
        <w:spacing w:after="0" w:line="240" w:lineRule="auto"/>
      </w:pPr>
      <w:r>
        <w:separator/>
      </w:r>
    </w:p>
  </w:footnote>
  <w:footnote w:type="continuationSeparator" w:id="1">
    <w:p w:rsidR="0012688E" w:rsidRDefault="0012688E" w:rsidP="006708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45" w:rsidRDefault="00670845">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82.8pt;margin-top:-25.1pt;width:319.55pt;height:33.15pt;z-index:251658240;mso-width-relative:margin;mso-height-relative:margin" strokeweight="1pt">
          <v:stroke dashstyle="dash"/>
          <v:shadow color="#868686"/>
          <v:textbox>
            <w:txbxContent>
              <w:p w:rsidR="00670845" w:rsidRDefault="00670845" w:rsidP="00670845">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5B4558"/>
    <w:rsid w:val="0012688E"/>
    <w:rsid w:val="003B0B9B"/>
    <w:rsid w:val="005B4558"/>
    <w:rsid w:val="006612E1"/>
    <w:rsid w:val="006708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B4558"/>
  </w:style>
  <w:style w:type="character" w:styleId="Lienhypertexte">
    <w:name w:val="Hyperlink"/>
    <w:basedOn w:val="Policepardfaut"/>
    <w:uiPriority w:val="99"/>
    <w:semiHidden/>
    <w:unhideWhenUsed/>
    <w:rsid w:val="005B4558"/>
    <w:rPr>
      <w:color w:val="0000FF"/>
      <w:u w:val="single"/>
    </w:rPr>
  </w:style>
  <w:style w:type="paragraph" w:styleId="En-tte">
    <w:name w:val="header"/>
    <w:basedOn w:val="Normal"/>
    <w:link w:val="En-tteCar"/>
    <w:uiPriority w:val="99"/>
    <w:semiHidden/>
    <w:unhideWhenUsed/>
    <w:rsid w:val="006708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70845"/>
  </w:style>
  <w:style w:type="paragraph" w:styleId="Pieddepage">
    <w:name w:val="footer"/>
    <w:basedOn w:val="Normal"/>
    <w:link w:val="PieddepageCar"/>
    <w:uiPriority w:val="99"/>
    <w:semiHidden/>
    <w:unhideWhenUsed/>
    <w:rsid w:val="006708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70845"/>
  </w:style>
</w:styles>
</file>

<file path=word/webSettings.xml><?xml version="1.0" encoding="utf-8"?>
<w:webSettings xmlns:r="http://schemas.openxmlformats.org/officeDocument/2006/relationships" xmlns:w="http://schemas.openxmlformats.org/wordprocessingml/2006/main">
  <w:divs>
    <w:div w:id="11566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2264</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4</cp:revision>
  <dcterms:created xsi:type="dcterms:W3CDTF">2013-01-17T10:10:00Z</dcterms:created>
  <dcterms:modified xsi:type="dcterms:W3CDTF">2013-03-28T22:45:00Z</dcterms:modified>
</cp:coreProperties>
</file>