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Pr>
      </w:pPr>
      <w:bookmarkStart w:id="0" w:name="الاجنهاد"/>
      <w:r w:rsidRPr="001A4703">
        <w:rPr>
          <w:rFonts w:ascii="Simplified Arabic" w:eastAsia="Times New Roman" w:hAnsi="Simplified Arabic" w:cs="Simplified Arabic"/>
          <w:color w:val="FF0000"/>
          <w:sz w:val="28"/>
          <w:szCs w:val="28"/>
          <w:u w:val="single"/>
          <w:rtl/>
          <w:lang w:bidi="ar-KW"/>
        </w:rPr>
        <w:t>الاجتهاد و شروطه</w:t>
      </w:r>
      <w:bookmarkEnd w:id="0"/>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FF0000"/>
          <w:sz w:val="28"/>
          <w:szCs w:val="28"/>
          <w:rtl/>
          <w:lang w:bidi="ar-KW"/>
        </w:rPr>
        <w:t>تعريف الاجتهاد</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الاجتهاد لغة بذل الجهد لتح</w:t>
      </w:r>
      <w:r w:rsidRPr="001A4703">
        <w:rPr>
          <w:rFonts w:ascii="Simplified Arabic" w:eastAsia="Times New Roman" w:hAnsi="Simplified Arabic" w:cs="Simplified Arabic"/>
          <w:color w:val="000080"/>
          <w:sz w:val="28"/>
          <w:szCs w:val="28"/>
          <w:rtl/>
          <w:lang w:bidi="ar-MA"/>
        </w:rPr>
        <w:t>قي</w:t>
      </w:r>
      <w:r w:rsidRPr="001A4703">
        <w:rPr>
          <w:rFonts w:ascii="Simplified Arabic" w:eastAsia="Times New Roman" w:hAnsi="Simplified Arabic" w:cs="Simplified Arabic"/>
          <w:color w:val="000080"/>
          <w:sz w:val="28"/>
          <w:szCs w:val="28"/>
          <w:rtl/>
          <w:lang w:bidi="ar-KW"/>
        </w:rPr>
        <w:t>ق مبتغى مشتق من مادة: (ج هـ د) بمعنى: بذل الجهد (بضم الجيم) (وهو الطاقة) أو تحمل الجهد (بفتح الجيم) وهو المشقة.وصيغة "الافتعال" تدل على المبالغة في الفعل</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bookmarkStart w:id="1" w:name="_Toc207463051"/>
      <w:r w:rsidRPr="001A4703">
        <w:rPr>
          <w:rFonts w:ascii="Simplified Arabic" w:eastAsia="Times New Roman" w:hAnsi="Simplified Arabic" w:cs="Simplified Arabic"/>
          <w:b/>
          <w:bCs/>
          <w:color w:val="000080"/>
          <w:sz w:val="28"/>
          <w:szCs w:val="28"/>
          <w:u w:val="single"/>
          <w:rtl/>
          <w:lang w:bidi="ar-KW"/>
        </w:rPr>
        <w:t>الاجتهاد في اصطلاح الأصوليين:</w:t>
      </w:r>
      <w:bookmarkEnd w:id="1"/>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 هو بذل الجهد للوصول إلى الحكم الشرعي من دليل تفصيلي من الأدلة الشرعية.</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قال الإمام الشوكاني في كتابه "إرشاد الفحول" الاجتهاد "بذل الوسع في نبل حكم شرعي عملي بطريق الاستنباط".</w:t>
      </w:r>
      <w:r w:rsidRPr="001A4703">
        <w:rPr>
          <w:rFonts w:ascii="Simplified Arabic" w:eastAsia="Times New Roman" w:hAnsi="Simplified Arabic" w:cs="Simplified Arabic"/>
          <w:color w:val="000080"/>
          <w:sz w:val="28"/>
          <w:szCs w:val="28"/>
          <w:rtl/>
          <w:lang w:bidi="ar-KW"/>
        </w:rPr>
        <w:br/>
        <w:t>شرح التعريف: قال:</w:t>
      </w:r>
    </w:p>
    <w:p w:rsidR="001A4703" w:rsidRPr="001A4703" w:rsidRDefault="001A4703" w:rsidP="001A4703">
      <w:pPr>
        <w:shd w:val="clear" w:color="auto" w:fill="FFFFFF"/>
        <w:bidi/>
        <w:spacing w:after="0" w:line="240" w:lineRule="auto"/>
        <w:rPr>
          <w:rFonts w:ascii="Verdana" w:eastAsia="Times New Roman" w:hAnsi="Verdana" w:cs="Times New Roman"/>
          <w:color w:val="000000"/>
          <w:sz w:val="28"/>
          <w:szCs w:val="28"/>
          <w:rtl/>
        </w:rPr>
      </w:pPr>
      <w:r w:rsidRPr="001A4703">
        <w:rPr>
          <w:rFonts w:ascii="Simplified Arabic" w:eastAsia="Times New Roman" w:hAnsi="Simplified Arabic" w:cs="Simplified Arabic"/>
          <w:b/>
          <w:bCs/>
          <w:color w:val="000080"/>
          <w:sz w:val="28"/>
          <w:szCs w:val="28"/>
          <w:rtl/>
        </w:rPr>
        <w:t>أ. فقولنا: بذل الوسع: يخرج ما يحصل</w:t>
      </w:r>
      <w:r w:rsidRPr="00C67FE7">
        <w:rPr>
          <w:rFonts w:ascii="Arial" w:eastAsia="Times New Roman" w:hAnsi="Arial" w:cs="Arial"/>
          <w:b/>
          <w:bCs/>
          <w:color w:val="000000"/>
          <w:sz w:val="28"/>
          <w:szCs w:val="28"/>
        </w:rPr>
        <w:t> </w:t>
      </w:r>
      <w:r w:rsidRPr="001A4703">
        <w:rPr>
          <w:rFonts w:ascii="Simplified Arabic" w:eastAsia="Times New Roman" w:hAnsi="Simplified Arabic" w:cs="Simplified Arabic"/>
          <w:b/>
          <w:bCs/>
          <w:color w:val="000080"/>
          <w:sz w:val="28"/>
          <w:szCs w:val="28"/>
          <w:rtl/>
        </w:rPr>
        <w:t>مع التقصير، فإن معنى بذل الوسع، أن يحس من نفسه العجز عن مزيد</w:t>
      </w:r>
      <w:r w:rsidRPr="00C67FE7">
        <w:rPr>
          <w:rFonts w:ascii="Arial" w:eastAsia="Times New Roman" w:hAnsi="Arial" w:cs="Arial"/>
          <w:b/>
          <w:bCs/>
          <w:color w:val="000000"/>
          <w:sz w:val="28"/>
          <w:szCs w:val="28"/>
        </w:rPr>
        <w:t> </w:t>
      </w:r>
      <w:r w:rsidRPr="001A4703">
        <w:rPr>
          <w:rFonts w:ascii="Simplified Arabic" w:eastAsia="Times New Roman" w:hAnsi="Simplified Arabic" w:cs="Simplified Arabic"/>
          <w:b/>
          <w:bCs/>
          <w:color w:val="000080"/>
          <w:sz w:val="28"/>
          <w:szCs w:val="28"/>
          <w:rtl/>
        </w:rPr>
        <w:t>طلب</w:t>
      </w:r>
      <w:r w:rsidRPr="001A4703">
        <w:rPr>
          <w:rFonts w:ascii="Arial" w:eastAsia="Times New Roman" w:hAnsi="Arial" w:cs="Arial"/>
          <w:b/>
          <w:bCs/>
          <w:color w:val="000080"/>
          <w:sz w:val="28"/>
          <w:szCs w:val="28"/>
          <w:lang w:val="en-US"/>
        </w:rPr>
        <w:t>.</w:t>
      </w:r>
      <w:r w:rsidRPr="001A4703">
        <w:rPr>
          <w:rFonts w:ascii="Verdana" w:eastAsia="Times New Roman" w:hAnsi="Verdana" w:cs="Times New Roman"/>
          <w:color w:val="000000"/>
          <w:sz w:val="28"/>
          <w:szCs w:val="28"/>
          <w:rtl/>
        </w:rPr>
        <w:br/>
      </w:r>
      <w:r w:rsidRPr="001A4703">
        <w:rPr>
          <w:rFonts w:ascii="Simplified Arabic" w:eastAsia="Times New Roman" w:hAnsi="Simplified Arabic" w:cs="Simplified Arabic"/>
          <w:b/>
          <w:bCs/>
          <w:color w:val="000080"/>
          <w:sz w:val="28"/>
          <w:szCs w:val="28"/>
          <w:rtl/>
        </w:rPr>
        <w:t>ب. ويخرج</w:t>
      </w:r>
      <w:r w:rsidRPr="00C67FE7">
        <w:rPr>
          <w:rFonts w:ascii="Arial" w:eastAsia="Times New Roman" w:hAnsi="Arial" w:cs="Arial"/>
          <w:b/>
          <w:bCs/>
          <w:color w:val="000000"/>
          <w:sz w:val="28"/>
          <w:szCs w:val="28"/>
        </w:rPr>
        <w:t> </w:t>
      </w:r>
      <w:r w:rsidRPr="001A4703">
        <w:rPr>
          <w:rFonts w:ascii="Simplified Arabic" w:eastAsia="Times New Roman" w:hAnsi="Simplified Arabic" w:cs="Simplified Arabic"/>
          <w:b/>
          <w:bCs/>
          <w:color w:val="000080"/>
          <w:sz w:val="28"/>
          <w:szCs w:val="28"/>
          <w:rtl/>
        </w:rPr>
        <w:t>بـ "الشرعي" اللغوي والعقلي والحسي، فلا يسمى من بذل وسعه في تحصيلها "مجتهدا</w:t>
      </w:r>
      <w:r w:rsidRPr="001A4703">
        <w:rPr>
          <w:rFonts w:ascii="Arial" w:eastAsia="Times New Roman" w:hAnsi="Arial" w:cs="Arial"/>
          <w:b/>
          <w:bCs/>
          <w:color w:val="000000"/>
          <w:sz w:val="28"/>
          <w:szCs w:val="28"/>
          <w:lang w:val="en-US"/>
        </w:rPr>
        <w:t>"</w:t>
      </w:r>
      <w:r w:rsidRPr="00C67FE7">
        <w:rPr>
          <w:rFonts w:ascii="Arial" w:eastAsia="Times New Roman" w:hAnsi="Arial" w:cs="Arial"/>
          <w:b/>
          <w:bCs/>
          <w:color w:val="000000"/>
          <w:sz w:val="28"/>
          <w:szCs w:val="28"/>
          <w:lang w:val="en-US"/>
        </w:rPr>
        <w:t> </w:t>
      </w:r>
      <w:r w:rsidRPr="001A4703">
        <w:rPr>
          <w:rFonts w:ascii="Simplified Arabic" w:eastAsia="Times New Roman" w:hAnsi="Simplified Arabic" w:cs="Simplified Arabic"/>
          <w:b/>
          <w:bCs/>
          <w:color w:val="000080"/>
          <w:sz w:val="28"/>
          <w:szCs w:val="28"/>
          <w:rtl/>
        </w:rPr>
        <w:t>اصطلاحا</w:t>
      </w:r>
      <w:r w:rsidRPr="001A4703">
        <w:rPr>
          <w:rFonts w:ascii="Arial" w:eastAsia="Times New Roman" w:hAnsi="Arial" w:cs="Arial"/>
          <w:b/>
          <w:bCs/>
          <w:color w:val="000000"/>
          <w:sz w:val="28"/>
          <w:szCs w:val="28"/>
          <w:lang w:val="en-US"/>
        </w:rPr>
        <w:t>.</w:t>
      </w:r>
      <w:r w:rsidRPr="001A4703">
        <w:rPr>
          <w:rFonts w:ascii="Verdana" w:eastAsia="Times New Roman" w:hAnsi="Verdana" w:cs="Times New Roman"/>
          <w:color w:val="000000"/>
          <w:sz w:val="28"/>
          <w:szCs w:val="28"/>
          <w:rtl/>
        </w:rPr>
        <w:br/>
      </w:r>
      <w:r w:rsidRPr="001A4703">
        <w:rPr>
          <w:rFonts w:ascii="Simplified Arabic" w:eastAsia="Times New Roman" w:hAnsi="Simplified Arabic" w:cs="Simplified Arabic"/>
          <w:b/>
          <w:bCs/>
          <w:color w:val="000080"/>
          <w:sz w:val="28"/>
          <w:szCs w:val="28"/>
          <w:rtl/>
        </w:rPr>
        <w:t>ج</w:t>
      </w:r>
      <w:r w:rsidRPr="001A4703">
        <w:rPr>
          <w:rFonts w:ascii="Arial" w:eastAsia="Times New Roman" w:hAnsi="Arial" w:cs="Arial"/>
          <w:b/>
          <w:bCs/>
          <w:color w:val="000000"/>
          <w:sz w:val="28"/>
          <w:szCs w:val="28"/>
          <w:lang w:val="en-US"/>
        </w:rPr>
        <w:t>.</w:t>
      </w:r>
      <w:r w:rsidRPr="00C67FE7">
        <w:rPr>
          <w:rFonts w:ascii="Arial" w:eastAsia="Times New Roman" w:hAnsi="Arial" w:cs="Arial"/>
          <w:b/>
          <w:bCs/>
          <w:color w:val="000000"/>
          <w:sz w:val="28"/>
          <w:szCs w:val="28"/>
          <w:lang w:val="en-US"/>
        </w:rPr>
        <w:t> </w:t>
      </w:r>
      <w:r w:rsidRPr="001A4703">
        <w:rPr>
          <w:rFonts w:ascii="Simplified Arabic" w:eastAsia="Times New Roman" w:hAnsi="Simplified Arabic" w:cs="Simplified Arabic"/>
          <w:b/>
          <w:bCs/>
          <w:color w:val="000080"/>
          <w:sz w:val="28"/>
          <w:szCs w:val="28"/>
          <w:rtl/>
        </w:rPr>
        <w:t>وكذلك بذل الوسع في تحصيل الحكم العلمي "الاعتقادي" فإنه لا يسمى اجتهادا عند</w:t>
      </w:r>
      <w:r w:rsidRPr="00C67FE7">
        <w:rPr>
          <w:rFonts w:ascii="Arial" w:eastAsia="Times New Roman" w:hAnsi="Arial" w:cs="Arial"/>
          <w:b/>
          <w:bCs/>
          <w:color w:val="000080"/>
          <w:sz w:val="28"/>
          <w:szCs w:val="28"/>
        </w:rPr>
        <w:t> </w:t>
      </w:r>
      <w:r w:rsidRPr="001A4703">
        <w:rPr>
          <w:rFonts w:ascii="Simplified Arabic" w:eastAsia="Times New Roman" w:hAnsi="Simplified Arabic" w:cs="Simplified Arabic"/>
          <w:b/>
          <w:bCs/>
          <w:color w:val="000080"/>
          <w:sz w:val="28"/>
          <w:szCs w:val="28"/>
          <w:rtl/>
        </w:rPr>
        <w:t>الفقهاء، وإن كان يسمى اجتهادا عند المتكلمين</w:t>
      </w:r>
      <w:r w:rsidRPr="001A4703">
        <w:rPr>
          <w:rFonts w:ascii="Arial" w:eastAsia="Times New Roman" w:hAnsi="Arial" w:cs="Arial"/>
          <w:b/>
          <w:bCs/>
          <w:color w:val="000000"/>
          <w:sz w:val="28"/>
          <w:szCs w:val="28"/>
          <w:lang w:val="en-US"/>
        </w:rPr>
        <w:t>.</w:t>
      </w:r>
      <w:r w:rsidRPr="001A4703">
        <w:rPr>
          <w:rFonts w:ascii="Verdana" w:eastAsia="Times New Roman" w:hAnsi="Verdana" w:cs="Times New Roman"/>
          <w:color w:val="000000"/>
          <w:sz w:val="28"/>
          <w:szCs w:val="28"/>
          <w:rtl/>
        </w:rPr>
        <w:br/>
      </w:r>
      <w:r w:rsidRPr="001A4703">
        <w:rPr>
          <w:rFonts w:ascii="Simplified Arabic" w:eastAsia="Times New Roman" w:hAnsi="Simplified Arabic" w:cs="Simplified Arabic"/>
          <w:b/>
          <w:bCs/>
          <w:color w:val="000080"/>
          <w:sz w:val="28"/>
          <w:szCs w:val="28"/>
          <w:rtl/>
        </w:rPr>
        <w:t>د. ويخرج "بطريق الاستنباط" نيل الأحكام من</w:t>
      </w:r>
      <w:r w:rsidRPr="00C67FE7">
        <w:rPr>
          <w:rFonts w:ascii="Arial" w:eastAsia="Times New Roman" w:hAnsi="Arial" w:cs="Arial"/>
          <w:b/>
          <w:bCs/>
          <w:color w:val="000080"/>
          <w:sz w:val="28"/>
          <w:szCs w:val="28"/>
        </w:rPr>
        <w:t> </w:t>
      </w:r>
      <w:r w:rsidRPr="001A4703">
        <w:rPr>
          <w:rFonts w:ascii="Simplified Arabic" w:eastAsia="Times New Roman" w:hAnsi="Simplified Arabic" w:cs="Simplified Arabic"/>
          <w:b/>
          <w:bCs/>
          <w:color w:val="000080"/>
          <w:sz w:val="28"/>
          <w:szCs w:val="28"/>
          <w:rtl/>
        </w:rPr>
        <w:t>النصوص ظاهرا، أو حفظ المسائل أو استعلامها من المفتي، أو بالكشف عنها في كتب</w:t>
      </w:r>
      <w:r w:rsidRPr="00C67FE7">
        <w:rPr>
          <w:rFonts w:ascii="Arial" w:eastAsia="Times New Roman" w:hAnsi="Arial" w:cs="Arial"/>
          <w:b/>
          <w:bCs/>
          <w:color w:val="000000"/>
          <w:sz w:val="28"/>
          <w:szCs w:val="28"/>
        </w:rPr>
        <w:t> </w:t>
      </w:r>
      <w:r w:rsidRPr="001A4703">
        <w:rPr>
          <w:rFonts w:ascii="Simplified Arabic" w:eastAsia="Times New Roman" w:hAnsi="Simplified Arabic" w:cs="Simplified Arabic"/>
          <w:b/>
          <w:bCs/>
          <w:color w:val="000080"/>
          <w:sz w:val="28"/>
          <w:szCs w:val="28"/>
          <w:rtl/>
        </w:rPr>
        <w:t>العلم، فإن ذلك ـ وإن كان يصدق عليه الاجتهاد اللغوي ـ لا يصدق عليه الاجتهاد</w:t>
      </w:r>
      <w:r w:rsidRPr="00C67FE7">
        <w:rPr>
          <w:rFonts w:ascii="Arial" w:eastAsia="Times New Roman" w:hAnsi="Arial" w:cs="Arial"/>
          <w:b/>
          <w:bCs/>
          <w:color w:val="000080"/>
          <w:sz w:val="28"/>
          <w:szCs w:val="28"/>
        </w:rPr>
        <w:t> </w:t>
      </w:r>
      <w:r w:rsidRPr="001A4703">
        <w:rPr>
          <w:rFonts w:ascii="Simplified Arabic" w:eastAsia="Times New Roman" w:hAnsi="Simplified Arabic" w:cs="Simplified Arabic"/>
          <w:b/>
          <w:bCs/>
          <w:color w:val="000080"/>
          <w:sz w:val="28"/>
          <w:szCs w:val="28"/>
          <w:rtl/>
        </w:rPr>
        <w:t>الاصطلاحي</w:t>
      </w:r>
      <w:r w:rsidRPr="001A4703">
        <w:rPr>
          <w:rFonts w:ascii="Arial" w:eastAsia="Times New Roman" w:hAnsi="Arial" w:cs="Arial"/>
          <w:b/>
          <w:bCs/>
          <w:color w:val="000000"/>
          <w:sz w:val="28"/>
          <w:szCs w:val="28"/>
          <w:lang w:val="en-US"/>
        </w:rPr>
        <w:t>.</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FF0000"/>
          <w:sz w:val="28"/>
          <w:szCs w:val="28"/>
          <w:rtl/>
        </w:rPr>
        <w:t>مجال الاجتهاد</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rPr>
        <w:t>قال غيد الله خلاف رحمه الله:</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فإن كانت الواقعة التي يراد معرفة حكمها قد دل على الحكم الشرعي فيها دليل صريح قطعي الورود والدلالة فلا مجال للاجتهاد فيها، والواجب لأن ينفذ فيها ما دل عليه النص، لأنه ما دام قطعي الورود فليس ثبوته وصدوره عن الله أو رسوله موضع بحث وبذل جهد. وما دام قطعي الدلالة فليست دلالته على معناه واستفادة الحكم منه موضع بحث واجتهاد. وعلى هذا فآيات الأحكام المفسرة التي تدل على المراد منها دلالة واضحة، ولاتحتمل تأويلاً يجب تطبيقها، ولا مجال للاجتهاد في الوقائع التي تطبق فيها، ففي قوله تعالى: ﴿</w:t>
      </w:r>
      <w:r w:rsidRPr="00C67FE7">
        <w:rPr>
          <w:rFonts w:ascii="Simplified Arabic" w:eastAsia="Times New Roman" w:hAnsi="Simplified Arabic" w:cs="Simplified Arabic"/>
          <w:color w:val="000080"/>
          <w:sz w:val="28"/>
          <w:szCs w:val="28"/>
          <w:rtl/>
          <w:lang w:bidi="ar-KW"/>
        </w:rPr>
        <w:t> </w:t>
      </w:r>
      <w:r w:rsidRPr="001A4703">
        <w:rPr>
          <w:rFonts w:ascii="Simplified Arabic" w:eastAsia="Times New Roman" w:hAnsi="Simplified Arabic" w:cs="Simplified Arabic"/>
          <w:b/>
          <w:bCs/>
          <w:color w:val="000080"/>
          <w:sz w:val="28"/>
          <w:szCs w:val="28"/>
          <w:rtl/>
          <w:lang w:bidi="ar-KW"/>
        </w:rPr>
        <w:t>الزَّانِيَةُ وَالزَّانِي فَاجْلِدُوا كُلَّ وَاحِدٍ مِّنْهُمَا مِئَةَ جَلْدَةٍ</w:t>
      </w:r>
      <w:r w:rsidRPr="001A4703">
        <w:rPr>
          <w:rFonts w:ascii="Simplified Arabic" w:eastAsia="Times New Roman" w:hAnsi="Simplified Arabic" w:cs="Simplified Arabic"/>
          <w:color w:val="000080"/>
          <w:sz w:val="28"/>
          <w:szCs w:val="28"/>
          <w:rtl/>
          <w:lang w:bidi="ar-KW"/>
        </w:rPr>
        <w:t>﴾[النور:2]، لا مجال للاجتهاد في عدد الجلدات. وكذلك في كل عقوبة أو كفارة مقدرة. وفي قوله تعالى: ﴿</w:t>
      </w:r>
      <w:r w:rsidRPr="00C67FE7">
        <w:rPr>
          <w:rFonts w:ascii="Simplified Arabic" w:eastAsia="Times New Roman" w:hAnsi="Simplified Arabic" w:cs="Simplified Arabic"/>
          <w:color w:val="000080"/>
          <w:sz w:val="28"/>
          <w:szCs w:val="28"/>
          <w:rtl/>
          <w:lang w:bidi="ar-KW"/>
        </w:rPr>
        <w:t> </w:t>
      </w:r>
      <w:r w:rsidRPr="001A4703">
        <w:rPr>
          <w:rFonts w:ascii="Simplified Arabic" w:eastAsia="Times New Roman" w:hAnsi="Simplified Arabic" w:cs="Simplified Arabic"/>
          <w:b/>
          <w:bCs/>
          <w:color w:val="000080"/>
          <w:sz w:val="28"/>
          <w:szCs w:val="28"/>
          <w:rtl/>
          <w:lang w:bidi="ar-KW"/>
        </w:rPr>
        <w:t>وَأَقِيمُواْ الصَّلاَةَ وَآتُواْ الزَّكَاةَ</w:t>
      </w:r>
      <w:r w:rsidRPr="001A4703">
        <w:rPr>
          <w:rFonts w:ascii="Simplified Arabic" w:eastAsia="Times New Roman" w:hAnsi="Simplified Arabic" w:cs="Simplified Arabic"/>
          <w:color w:val="000080"/>
          <w:sz w:val="28"/>
          <w:szCs w:val="28"/>
          <w:rtl/>
          <w:lang w:bidi="ar-KW"/>
        </w:rPr>
        <w:t xml:space="preserve">﴾[البقرة:43]، بعد أن فسرت السنة العلمية المراد من الصلاة أو الزكاة، لا مجال للاجتهاد في تعرف المراد من أحدهما. فما دام النص صريحاً مفسراً بصيغة أو بما ألحقه الشارع به من تفسير وبيان، </w:t>
      </w:r>
      <w:r w:rsidRPr="001A4703">
        <w:rPr>
          <w:rFonts w:ascii="Simplified Arabic" w:eastAsia="Times New Roman" w:hAnsi="Simplified Arabic" w:cs="Simplified Arabic"/>
          <w:color w:val="000080"/>
          <w:sz w:val="28"/>
          <w:szCs w:val="28"/>
          <w:rtl/>
          <w:lang w:bidi="ar-KW"/>
        </w:rPr>
        <w:lastRenderedPageBreak/>
        <w:t>فلا مساغ للاجتهاد فيما ورد فيه. ومثل هذه الآيات القرآنية المفسرة السنن المتواترة المفسرة، كحديث الأموال الواجبة فيها الزكاة ومقدار النصاب من كل مال منها ومقدار الواجب فيه.</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أما إذا كانت الواقعة التي يراد معرفة حكمها قد ورد فيها نص ظني الورود والدلالة أو أحدهما ظني فقط ففيهما للاجتهاد مجال، لأن المجتهد عليه أن يبحث في الدليل الظني الورود من حيث سنده، وطريق وصوله إلينا عن الرسول، ودرجة رواته من العدالة والضبط والثقة والصدق، وفي هذا يختلف تقدير المجتهدين للدليل. فمنهم من يطمئن إلى روايته ويأخذ به، ومنهم من لا يطمئن إلى روايته ولا يأخذ به. وهذا باب من الأبواب التي اختلف من أجلها المجتهدون في كثير من الأحكام العلمية.</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فإن أداة اجتهاده في سند الدليل إلى الاطمئنان لروايته، وصدق رواته، واجتهد في معرفة ما يدل عليه الدليل من الأحكام وما يطبق فيه من الوقائع، لأن الدليل قد يدل ظاهره على معنى، ولكنه ليس هو المراد. وقد يكون عاماً، وقد يكون مطلقاً، وقد يكون على صيغة الأمر والنهي، فالمجتهد يصل باجتهاده إلى معرفة أن الظاهر على ظاهره أو هو مؤول، وأن العام باق على عمومه أو هو مخصص، وكذلك المطلق على إطلاقه أو هو مقيد، والأمر للإيجاب أو لغيره، والنهي للتحريم أو لغيره. وهاديه في اجتهاده القواعد الأصولية اللغوية، ومقاصد الشارع ومبادئه العامة، وسائر نصوصه التي بينت أحكاماً، وبهذا يصل إلى أن النص يطبق في هذه الواقعة أو لا يطبق.</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وكذلك إذا كانت الواقعة لا نص على حكمها أصلاً ففيها مجال متسع للاجتهاد، لأن المجتهد يبحث ليصل إلى معرفة حكمها بواسطة القياس، أو الاستحسان أو الاستصحاب أو مراعاة العرف أو المصالح المرسلة.</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فالخلاصة: أن مجال الاجتهاد أمران: ما لا نص فيه أصلاً، وما فيه نص غير قطعي، ولا مجال للاجتهاد فيما فيه نص قطعي.</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FF0000"/>
          <w:sz w:val="28"/>
          <w:szCs w:val="28"/>
          <w:rtl/>
        </w:rPr>
        <w:t>شروط الاجتهاد</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b/>
          <w:bCs/>
          <w:color w:val="000080"/>
          <w:sz w:val="28"/>
          <w:szCs w:val="28"/>
          <w:rtl/>
          <w:lang w:bidi="ar-KW"/>
        </w:rPr>
        <w:t>يشترط لتحقيق الأهلية للاجتهاد شروط أقلها أربعة:</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b/>
          <w:bCs/>
          <w:color w:val="800000"/>
          <w:sz w:val="28"/>
          <w:szCs w:val="28"/>
          <w:rtl/>
          <w:lang w:bidi="ar-KW"/>
        </w:rPr>
        <w:t>الأول: أن يكون الإنسان على علم باللغة العربية</w:t>
      </w:r>
      <w:r w:rsidRPr="00C67FE7">
        <w:rPr>
          <w:rFonts w:ascii="Simplified Arabic" w:eastAsia="Times New Roman" w:hAnsi="Simplified Arabic" w:cs="Simplified Arabic"/>
          <w:color w:val="000080"/>
          <w:sz w:val="28"/>
          <w:szCs w:val="28"/>
          <w:rtl/>
          <w:lang w:bidi="ar-KW"/>
        </w:rPr>
        <w:t> </w:t>
      </w:r>
      <w:r w:rsidRPr="001A4703">
        <w:rPr>
          <w:rFonts w:ascii="Simplified Arabic" w:eastAsia="Times New Roman" w:hAnsi="Simplified Arabic" w:cs="Simplified Arabic"/>
          <w:color w:val="000080"/>
          <w:sz w:val="28"/>
          <w:szCs w:val="28"/>
          <w:rtl/>
          <w:lang w:bidi="ar-KW"/>
        </w:rPr>
        <w:t>وطرق دلالة عباراتها ومفرداتها، وله ذوق في فهم أساليبها كسبه من الحذق في علومها وفنونها، وسعة الاطلاع على لآدابها وآثار فصاحتها من شعر ونثر غيرهما، لأن أول وجهة للمجتهد هي النصوص في القرآن والسنة وفهمها العربي الذي وردت هذه النصوص بلغته، وتطبيق القواعد الأصولية اللغوية في استفادة المعاني من العبارات والمفردات.</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b/>
          <w:bCs/>
          <w:color w:val="800000"/>
          <w:sz w:val="28"/>
          <w:szCs w:val="28"/>
          <w:rtl/>
          <w:lang w:bidi="ar-KW"/>
        </w:rPr>
        <w:t>الثاني: أن يكون على علم بالقرآن</w:t>
      </w:r>
      <w:r w:rsidRPr="001A4703">
        <w:rPr>
          <w:rFonts w:ascii="Simplified Arabic" w:eastAsia="Times New Roman" w:hAnsi="Simplified Arabic" w:cs="Simplified Arabic"/>
          <w:b/>
          <w:bCs/>
          <w:color w:val="000080"/>
          <w:sz w:val="28"/>
          <w:szCs w:val="28"/>
          <w:rtl/>
          <w:lang w:bidi="ar-KW"/>
        </w:rPr>
        <w:t>،</w:t>
      </w:r>
      <w:r w:rsidRPr="00C67FE7">
        <w:rPr>
          <w:rFonts w:ascii="Simplified Arabic" w:eastAsia="Times New Roman" w:hAnsi="Simplified Arabic" w:cs="Simplified Arabic"/>
          <w:color w:val="000080"/>
          <w:sz w:val="28"/>
          <w:szCs w:val="28"/>
          <w:rtl/>
          <w:lang w:bidi="ar-KW"/>
        </w:rPr>
        <w:t> </w:t>
      </w:r>
      <w:r w:rsidRPr="001A4703">
        <w:rPr>
          <w:rFonts w:ascii="Simplified Arabic" w:eastAsia="Times New Roman" w:hAnsi="Simplified Arabic" w:cs="Simplified Arabic"/>
          <w:color w:val="000080"/>
          <w:sz w:val="28"/>
          <w:szCs w:val="28"/>
          <w:rtl/>
          <w:lang w:bidi="ar-KW"/>
        </w:rPr>
        <w:t>والمراد أن يكون عليماً بالأحكام الشرعية التي جاء بها القرآن، وبالآيات التي نصت على هذه الأحكام، وبطرق استثمار هذه الأحكام من آياتها، بحيث إذا عرضت له واقعة كان ميسوراً له أن يستحضر كل ما ورد في موضوع هذه الواقعة من آيات الأحكام في القرآن، وما صح من أسباب نزول كل آية منها، وما ورد في تفسيرها وتأويلها من آثار، وعلى ضوء هذا يستنبط حكم الواقعة.</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lastRenderedPageBreak/>
        <w:t>وآيات الأحكام في القرآن ليست كثيرة، وقد خصها بعض المفسرين بتفسير خاص. ومن الممكن أن تجمع الآيات المرتبطة بموضوع واحد بعضها مع بعض، بحيث يتيسر للإنسان أن يرجع في مجموعة واحدة إلى كل الآيات القرآنية التي تضمنت أحكاماً في الطلاق، وكل الآيات التي تضمنت أحكاماً في الزواج، وفي الإرث، وفي العقوبات، وفي المعاملات، وفي غير ذلك من أنواع أحكام القرآن.</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ومن الميسور أن يذكر مع كل آية ما ورد في الصحاح من سبب نزولها، وما ورد من الأحاديث التي فيها تبيين لمجملها، وما ورد من الآثار في تفسيرها، وبهذا تكون المجموعة القانونية في القرآن ميسوراً الرجوع إليها عند الحاجة، وميسوراً مقارنة مواد الموضوع الواحد بعضها ببعض، وفهم كل مادة على ضوء سائر مواد موضوعها لأن القرآن يفسر بعضه بعضاً، ومن الخطأ أن تفهم آية منه على أنها وحدة مستقلة.</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b/>
          <w:bCs/>
          <w:color w:val="800000"/>
          <w:sz w:val="28"/>
          <w:szCs w:val="28"/>
          <w:rtl/>
          <w:lang w:bidi="ar-KW"/>
        </w:rPr>
        <w:t>الثالث: أن يكون على علم بالسنة</w:t>
      </w:r>
      <w:r w:rsidRPr="00C67FE7">
        <w:rPr>
          <w:rFonts w:ascii="Simplified Arabic" w:eastAsia="Times New Roman" w:hAnsi="Simplified Arabic" w:cs="Simplified Arabic"/>
          <w:b/>
          <w:bCs/>
          <w:color w:val="000080"/>
          <w:sz w:val="28"/>
          <w:szCs w:val="28"/>
          <w:rtl/>
          <w:lang w:bidi="ar-KW"/>
        </w:rPr>
        <w:t> </w:t>
      </w:r>
      <w:r w:rsidRPr="001A4703">
        <w:rPr>
          <w:rFonts w:ascii="Simplified Arabic" w:eastAsia="Times New Roman" w:hAnsi="Simplified Arabic" w:cs="Simplified Arabic"/>
          <w:b/>
          <w:bCs/>
          <w:color w:val="000080"/>
          <w:sz w:val="28"/>
          <w:szCs w:val="28"/>
          <w:rtl/>
          <w:lang w:bidi="ar-KW"/>
        </w:rPr>
        <w:t>:</w:t>
      </w:r>
      <w:r w:rsidRPr="00C67FE7">
        <w:rPr>
          <w:rFonts w:ascii="Simplified Arabic" w:eastAsia="Times New Roman" w:hAnsi="Simplified Arabic" w:cs="Simplified Arabic"/>
          <w:color w:val="000080"/>
          <w:sz w:val="28"/>
          <w:szCs w:val="28"/>
          <w:rtl/>
          <w:lang w:bidi="ar-KW"/>
        </w:rPr>
        <w:t> </w:t>
      </w:r>
      <w:r w:rsidRPr="001A4703">
        <w:rPr>
          <w:rFonts w:ascii="Simplified Arabic" w:eastAsia="Times New Roman" w:hAnsi="Simplified Arabic" w:cs="Simplified Arabic"/>
          <w:color w:val="000080"/>
          <w:sz w:val="28"/>
          <w:szCs w:val="28"/>
          <w:rtl/>
          <w:lang w:bidi="ar-KW"/>
        </w:rPr>
        <w:t>بأن يكون عليماً بالأحكام الشرعية التي وردت بها السنة بحيث يستطيع في كل باب من أبواب أعمال المكلفين أن يستحضر ما ورد في السنة من أحكام هذا الباب، ويعرف درجة سند هذه السنة من الصحة أو الضعف في الرواية. ولقد أدى العلماء للسنة النبوية خدمات جليلة، وعنوا بفحص أسانيدها ورواة كل حديث منها، حيى كفوا من جاء بعدهم مؤونة البحث في الأسانيد، وصار معروفاً في كل حديث أنه متواتر، أو مشهور، أو صحيح، أو حسن، أو ضعيف.</w:t>
      </w:r>
    </w:p>
    <w:p w:rsidR="001A4703" w:rsidRPr="001A4703" w:rsidRDefault="001A4703" w:rsidP="001A4703">
      <w:pPr>
        <w:shd w:val="clear" w:color="auto" w:fill="FFFFFF"/>
        <w:bidi/>
        <w:spacing w:after="0" w:line="240" w:lineRule="auto"/>
        <w:ind w:left="26"/>
        <w:rPr>
          <w:rFonts w:ascii="Verdana" w:eastAsia="Times New Roman" w:hAnsi="Verdana" w:cs="Times New Roman"/>
          <w:color w:val="000000"/>
          <w:sz w:val="28"/>
          <w:szCs w:val="28"/>
          <w:rtl/>
        </w:rPr>
      </w:pPr>
      <w:r w:rsidRPr="001A4703">
        <w:rPr>
          <w:rFonts w:ascii="Simplified Arabic" w:eastAsia="Times New Roman" w:hAnsi="Simplified Arabic" w:cs="Simplified Arabic"/>
          <w:color w:val="000080"/>
          <w:sz w:val="28"/>
          <w:szCs w:val="28"/>
          <w:rtl/>
          <w:lang w:bidi="ar-KW"/>
        </w:rPr>
        <w:t>وكذلك عني العلماء بجمع أحاديث الأحكام، وترتيبها حسب أبواب الفقه وأعمال المكلفين، بحيث يتيسر للإنسان أن يرجع إلى ما ورد في السنة الصحيحة من أعمال البيع أو الطلاق أو الزواج أو العقوبات أو غيرها، ويستطيع أن يرجع إلى الآيات والأحاديث التي وردت في موضوع واحد من موضوعات الأحكام، وعلى ضوئها يفهم الحكم الشرعي. ومن خير الكتب التي يرجع إليها في هذا ((كتاب نيل الأوطار)) للإمام الشوكاني.</w:t>
      </w:r>
    </w:p>
    <w:p w:rsidR="001A4703" w:rsidRPr="001A4703" w:rsidRDefault="001A4703" w:rsidP="001A4703">
      <w:pPr>
        <w:shd w:val="clear" w:color="auto" w:fill="FFFFFF"/>
        <w:bidi/>
        <w:spacing w:after="0" w:line="240" w:lineRule="auto"/>
        <w:rPr>
          <w:rFonts w:ascii="Verdana" w:eastAsia="Times New Roman" w:hAnsi="Verdana" w:cs="Times New Roman"/>
          <w:color w:val="000000"/>
          <w:sz w:val="28"/>
          <w:szCs w:val="28"/>
          <w:rtl/>
        </w:rPr>
      </w:pPr>
      <w:r w:rsidRPr="001A4703">
        <w:rPr>
          <w:rFonts w:ascii="Simplified Arabic" w:eastAsia="Times New Roman" w:hAnsi="Simplified Arabic" w:cs="Simplified Arabic"/>
          <w:b/>
          <w:bCs/>
          <w:color w:val="800000"/>
          <w:sz w:val="28"/>
          <w:szCs w:val="28"/>
          <w:rtl/>
          <w:lang w:bidi="ar-KW"/>
        </w:rPr>
        <w:t>الرابع: أن يعرف وجوه القياس</w:t>
      </w:r>
      <w:r w:rsidRPr="001A4703">
        <w:rPr>
          <w:rFonts w:ascii="Simplified Arabic" w:eastAsia="Times New Roman" w:hAnsi="Simplified Arabic" w:cs="Simplified Arabic"/>
          <w:color w:val="000080"/>
          <w:sz w:val="28"/>
          <w:szCs w:val="28"/>
          <w:rtl/>
          <w:lang w:bidi="ar-KW"/>
        </w:rPr>
        <w:t>، وذلك بأن يعرف العلل والحكم التشريعية التي شرعت من أجلها الأحكام، ويعرف المسالك التي مهدها الشارع لمعرفة علل أحكامه، ويكون خبيراً بوقائع أحوال الناس ومعاملاتهم، حتى يعرف ما تتحقق فيه علة الحكم من الوقائع التي لا نص فيها، ويكون خبيراً أيضاً بمصالح الناس وعرفهم، وما يكون ذريعة إلى الخير والشر فيهم، حتى إذا لم يجد في القياس سبيلاً إلى معرفة حكم الواقعة، سلك سبيلاً أخرى من السبل التي مهدتها الشريعة للوصول إلى استنباط الحكم فيما لا نص فيه.</w:t>
      </w:r>
    </w:p>
    <w:p w:rsidR="004F1491" w:rsidRPr="00C67FE7" w:rsidRDefault="001A4703" w:rsidP="001A4703">
      <w:pPr>
        <w:jc w:val="right"/>
        <w:rPr>
          <w:sz w:val="28"/>
          <w:szCs w:val="28"/>
        </w:rPr>
      </w:pPr>
      <w:r w:rsidRPr="00C67FE7">
        <w:rPr>
          <w:rFonts w:ascii="Verdana" w:eastAsia="Times New Roman" w:hAnsi="Verdana" w:cs="Times New Roman"/>
          <w:color w:val="000000"/>
          <w:sz w:val="28"/>
          <w:szCs w:val="28"/>
          <w:shd w:val="clear" w:color="auto" w:fill="FFFFFF"/>
        </w:rPr>
        <w:br/>
      </w:r>
    </w:p>
    <w:sectPr w:rsidR="004F1491" w:rsidRPr="00C67FE7" w:rsidSect="004B7FA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E2D" w:rsidRDefault="005F1E2D" w:rsidP="003512DB">
      <w:pPr>
        <w:spacing w:after="0" w:line="240" w:lineRule="auto"/>
      </w:pPr>
      <w:r>
        <w:separator/>
      </w:r>
    </w:p>
  </w:endnote>
  <w:endnote w:type="continuationSeparator" w:id="1">
    <w:p w:rsidR="005F1E2D" w:rsidRDefault="005F1E2D" w:rsidP="00351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E2D" w:rsidRDefault="005F1E2D" w:rsidP="003512DB">
      <w:pPr>
        <w:spacing w:after="0" w:line="240" w:lineRule="auto"/>
      </w:pPr>
      <w:r>
        <w:separator/>
      </w:r>
    </w:p>
  </w:footnote>
  <w:footnote w:type="continuationSeparator" w:id="1">
    <w:p w:rsidR="005F1E2D" w:rsidRDefault="005F1E2D" w:rsidP="00351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2DB" w:rsidRDefault="003512DB">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67.75pt;margin-top:-22.75pt;width:319.55pt;height:33.15pt;z-index:251658240;mso-width-relative:margin;mso-height-relative:margin" strokeweight="1pt">
          <v:stroke dashstyle="dash"/>
          <v:shadow color="#868686"/>
          <v:textbox>
            <w:txbxContent>
              <w:p w:rsidR="003512DB" w:rsidRDefault="003512DB" w:rsidP="003512DB">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1A4703"/>
    <w:rsid w:val="001A4703"/>
    <w:rsid w:val="003512DB"/>
    <w:rsid w:val="004B7FAD"/>
    <w:rsid w:val="004F1491"/>
    <w:rsid w:val="005F1E2D"/>
    <w:rsid w:val="00C67F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A4703"/>
  </w:style>
  <w:style w:type="character" w:styleId="Lienhypertexte">
    <w:name w:val="Hyperlink"/>
    <w:basedOn w:val="Policepardfaut"/>
    <w:uiPriority w:val="99"/>
    <w:semiHidden/>
    <w:unhideWhenUsed/>
    <w:rsid w:val="001A4703"/>
    <w:rPr>
      <w:color w:val="0000FF"/>
      <w:u w:val="single"/>
    </w:rPr>
  </w:style>
  <w:style w:type="paragraph" w:styleId="En-tte">
    <w:name w:val="header"/>
    <w:basedOn w:val="Normal"/>
    <w:link w:val="En-tteCar"/>
    <w:uiPriority w:val="99"/>
    <w:semiHidden/>
    <w:unhideWhenUsed/>
    <w:rsid w:val="003512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12DB"/>
  </w:style>
  <w:style w:type="paragraph" w:styleId="Pieddepage">
    <w:name w:val="footer"/>
    <w:basedOn w:val="Normal"/>
    <w:link w:val="PieddepageCar"/>
    <w:uiPriority w:val="99"/>
    <w:semiHidden/>
    <w:unhideWhenUsed/>
    <w:rsid w:val="003512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512DB"/>
  </w:style>
</w:styles>
</file>

<file path=word/webSettings.xml><?xml version="1.0" encoding="utf-8"?>
<w:webSettings xmlns:r="http://schemas.openxmlformats.org/officeDocument/2006/relationships" xmlns:w="http://schemas.openxmlformats.org/wordprocessingml/2006/main">
  <w:divs>
    <w:div w:id="14907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5243</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4</cp:revision>
  <dcterms:created xsi:type="dcterms:W3CDTF">2013-01-17T10:16:00Z</dcterms:created>
  <dcterms:modified xsi:type="dcterms:W3CDTF">2013-03-28T22:47:00Z</dcterms:modified>
</cp:coreProperties>
</file>